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F2825D" w14:textId="5B9A6C17" w:rsidR="00987DE1" w:rsidRDefault="00D9503C">
      <w:pPr>
        <w:rPr>
          <w:lang w:val="en"/>
        </w:rPr>
      </w:pPr>
      <w:bookmarkStart w:id="0" w:name="OLE_LINK1"/>
      <w:bookmarkStart w:id="1" w:name="OLE_LINK2"/>
      <w:bookmarkStart w:id="2" w:name="OLE_LINK3"/>
      <w:r>
        <w:rPr>
          <w:lang w:val="en"/>
        </w:rPr>
        <w:t>Diclofenac</w:t>
      </w:r>
      <w:r w:rsidR="0034350E">
        <w:rPr>
          <w:lang w:val="en"/>
        </w:rPr>
        <w:t xml:space="preserve"> </w:t>
      </w:r>
      <w:r w:rsidR="006E4BEC">
        <w:rPr>
          <w:lang w:val="en"/>
        </w:rPr>
        <w:t>is a member of the</w:t>
      </w:r>
      <w:r w:rsidR="0034350E">
        <w:rPr>
          <w:lang w:val="en"/>
        </w:rPr>
        <w:t xml:space="preserve"> acidic antipyretic</w:t>
      </w:r>
      <w:r>
        <w:rPr>
          <w:lang w:val="en"/>
        </w:rPr>
        <w:t xml:space="preserve"> </w:t>
      </w:r>
      <w:r w:rsidR="00981A3C">
        <w:rPr>
          <w:lang w:val="en"/>
        </w:rPr>
        <w:t>analgesics</w:t>
      </w:r>
      <w:r>
        <w:rPr>
          <w:lang w:val="en"/>
        </w:rPr>
        <w:t xml:space="preserve"> </w:t>
      </w:r>
      <w:r w:rsidR="006E4BEC">
        <w:rPr>
          <w:lang w:val="en"/>
        </w:rPr>
        <w:t>group</w:t>
      </w:r>
      <w:r w:rsidR="00CA34BF">
        <w:rPr>
          <w:lang w:val="en"/>
        </w:rPr>
        <w:t xml:space="preserve"> (pain agents)</w:t>
      </w:r>
      <w:r w:rsidR="00981A3C">
        <w:rPr>
          <w:lang w:val="en"/>
        </w:rPr>
        <w:t>. Like all representatives of this class,</w:t>
      </w:r>
      <w:r>
        <w:rPr>
          <w:lang w:val="en"/>
        </w:rPr>
        <w:t xml:space="preserve"> </w:t>
      </w:r>
      <w:r w:rsidR="00981A3C">
        <w:rPr>
          <w:lang w:val="en"/>
        </w:rPr>
        <w:t>Diclofenac</w:t>
      </w:r>
      <w:r>
        <w:rPr>
          <w:lang w:val="en"/>
        </w:rPr>
        <w:t xml:space="preserve"> </w:t>
      </w:r>
      <w:r w:rsidR="00981A3C">
        <w:rPr>
          <w:lang w:val="en"/>
        </w:rPr>
        <w:t xml:space="preserve">inhibits </w:t>
      </w:r>
      <w:r w:rsidR="006E4BEC">
        <w:rPr>
          <w:lang w:val="en"/>
        </w:rPr>
        <w:t xml:space="preserve">cyclooxygenases </w:t>
      </w:r>
      <w:r w:rsidR="00981A3C">
        <w:rPr>
          <w:lang w:val="en"/>
        </w:rPr>
        <w:t xml:space="preserve">(COX) and thus reduces </w:t>
      </w:r>
      <w:r>
        <w:rPr>
          <w:lang w:val="en"/>
        </w:rPr>
        <w:t xml:space="preserve"> </w:t>
      </w:r>
      <w:r w:rsidR="00981A3C">
        <w:rPr>
          <w:lang w:val="en"/>
        </w:rPr>
        <w:t>prostaglandin synthesis,</w:t>
      </w:r>
      <w:r w:rsidR="006E4BEC">
        <w:rPr>
          <w:lang w:val="en"/>
        </w:rPr>
        <w:t xml:space="preserve"> </w:t>
      </w:r>
      <w:r>
        <w:rPr>
          <w:lang w:val="en"/>
        </w:rPr>
        <w:t>which</w:t>
      </w:r>
      <w:r w:rsidR="006E4BEC">
        <w:rPr>
          <w:lang w:val="en"/>
        </w:rPr>
        <w:t xml:space="preserve"> </w:t>
      </w:r>
      <w:r w:rsidR="00981A3C">
        <w:rPr>
          <w:lang w:val="en"/>
        </w:rPr>
        <w:t>influences peripheral pain formation</w:t>
      </w:r>
      <w:r w:rsidR="009417E4">
        <w:rPr>
          <w:lang w:val="en"/>
        </w:rPr>
        <w:fldChar w:fldCharType="begin" w:fldLock="1"/>
      </w:r>
      <w:r w:rsidR="00EC1B69">
        <w:rPr>
          <w:lang w:val="en"/>
        </w:rPr>
        <w:instrText>ADDIN CSL_CITATION {"citationItems":[{"id":"ITEM-1","itemData":{"ISBN":"978-3-437-44490-6","author":[{"dropping-particle":"","family":"Aktories","given":"Klaus","non-dropping-particle":"","parse-names":false,"suffix":""},{"dropping-particle":"","family":"Förstermann","given":"Ulrich","non-dropping-particle":"","parse-names":false,"suffix":""},{"dropping-particle":"","family":"Hofmann","given":"Franz","non-dropping-particle":"","parse-names":false,"suffix":""},{"dropping-particle":"","family":"Starke","given":"Klaus","non-dropping-particle":"","parse-names":false,"suffix":""}],"edition":"9. Auflage","id":"ITEM-1","issued":{"date-parts":[["2005"]]},"publisher":"Urban &amp; Fischer Verlag","publisher-place":"München","title":"Allgemeine und spezielle Pharmakologie und Toxikologie","type":"book"},"uris":["http://www.mendeley.com/documents/?uuid=da54e5f6-ee24-4acf-9fcc-01dabfc2c63e"]}],"mendeley":{"formattedCitation":"&lt;sup&gt;1&lt;/sup&gt;","plainTextFormattedCitation":"1","previouslyFormattedCitation":"&lt;sup&gt;1&lt;/sup&gt;"},"properties":{"noteIndex":0},"schema":"https://github.com/citation-style-language/schema/raw/master/csl-citation.json"}</w:instrText>
      </w:r>
      <w:r w:rsidR="009417E4">
        <w:rPr>
          <w:lang w:val="en"/>
        </w:rPr>
        <w:fldChar w:fldCharType="separate"/>
      </w:r>
      <w:r w:rsidR="009417E4" w:rsidRPr="009417E4">
        <w:rPr>
          <w:noProof/>
          <w:vertAlign w:val="superscript"/>
          <w:lang w:val="en"/>
        </w:rPr>
        <w:t>1</w:t>
      </w:r>
      <w:r w:rsidR="009417E4">
        <w:rPr>
          <w:lang w:val="en"/>
        </w:rPr>
        <w:fldChar w:fldCharType="end"/>
      </w:r>
      <w:r w:rsidR="00981A3C">
        <w:rPr>
          <w:lang w:val="en"/>
        </w:rPr>
        <w:t>.</w:t>
      </w:r>
      <w:r>
        <w:rPr>
          <w:lang w:val="en"/>
        </w:rPr>
        <w:t xml:space="preserve"> </w:t>
      </w:r>
      <w:r w:rsidR="006E4BEC">
        <w:rPr>
          <w:lang w:val="en"/>
        </w:rPr>
        <w:t>Because it is</w:t>
      </w:r>
      <w:r w:rsidR="00987DE1">
        <w:rPr>
          <w:lang w:val="en"/>
        </w:rPr>
        <w:t xml:space="preserve"> an active ingredient</w:t>
      </w:r>
      <w:r w:rsidR="00C9381F">
        <w:rPr>
          <w:lang w:val="en"/>
        </w:rPr>
        <w:t xml:space="preserve"> in</w:t>
      </w:r>
      <w:r w:rsidR="00987DE1">
        <w:rPr>
          <w:lang w:val="en"/>
        </w:rPr>
        <w:t xml:space="preserve"> pain-relieving ointment,</w:t>
      </w:r>
      <w:r>
        <w:rPr>
          <w:lang w:val="en"/>
        </w:rPr>
        <w:t xml:space="preserve"> </w:t>
      </w:r>
      <w:r w:rsidR="00987DE1">
        <w:rPr>
          <w:lang w:val="en"/>
        </w:rPr>
        <w:t>Diclofenac</w:t>
      </w:r>
      <w:r>
        <w:rPr>
          <w:lang w:val="en"/>
        </w:rPr>
        <w:t xml:space="preserve"> enjoys</w:t>
      </w:r>
      <w:r w:rsidR="00987DE1">
        <w:rPr>
          <w:lang w:val="en"/>
        </w:rPr>
        <w:t xml:space="preserve"> a great</w:t>
      </w:r>
      <w:r>
        <w:rPr>
          <w:lang w:val="en"/>
        </w:rPr>
        <w:t xml:space="preserve"> </w:t>
      </w:r>
      <w:r w:rsidR="009417E4">
        <w:rPr>
          <w:lang w:val="en"/>
        </w:rPr>
        <w:t>popularity</w:t>
      </w:r>
      <w:r w:rsidR="00987DE1">
        <w:rPr>
          <w:lang w:val="en"/>
        </w:rPr>
        <w:t xml:space="preserve"> </w:t>
      </w:r>
      <w:r w:rsidR="006E4BEC">
        <w:rPr>
          <w:lang w:val="en"/>
        </w:rPr>
        <w:t>among the German population</w:t>
      </w:r>
      <w:r w:rsidR="00987DE1">
        <w:rPr>
          <w:lang w:val="en"/>
        </w:rPr>
        <w:t>.</w:t>
      </w:r>
      <w:r w:rsidR="001C5DB5">
        <w:rPr>
          <w:lang w:val="en"/>
        </w:rPr>
        <w:t xml:space="preserve"> These </w:t>
      </w:r>
      <w:r w:rsidR="009A1D28">
        <w:rPr>
          <w:lang w:val="en"/>
        </w:rPr>
        <w:t>have been</w:t>
      </w:r>
      <w:bookmarkStart w:id="3" w:name="_GoBack"/>
      <w:bookmarkEnd w:id="3"/>
      <w:r w:rsidR="00D12AD8">
        <w:rPr>
          <w:lang w:val="en"/>
        </w:rPr>
        <w:t xml:space="preserve"> amongst</w:t>
      </w:r>
      <w:r w:rsidR="001C5DB5">
        <w:rPr>
          <w:lang w:val="en"/>
        </w:rPr>
        <w:t xml:space="preserve"> the most </w:t>
      </w:r>
      <w:r w:rsidR="006E4BEC">
        <w:rPr>
          <w:lang w:val="en"/>
        </w:rPr>
        <w:t xml:space="preserve">popularly </w:t>
      </w:r>
      <w:r w:rsidR="001C5DB5">
        <w:rPr>
          <w:lang w:val="en"/>
        </w:rPr>
        <w:t>sold drugs in Germany</w:t>
      </w:r>
      <w:r w:rsidR="00987DE1">
        <w:rPr>
          <w:lang w:val="en"/>
        </w:rPr>
        <w:fldChar w:fldCharType="begin" w:fldLock="1"/>
      </w:r>
      <w:r w:rsidR="00EC1B69">
        <w:rPr>
          <w:lang w:val="en"/>
        </w:rPr>
        <w:instrText>ADDIN CSL_CITATION {"citationItems":[{"id":"ITEM-1","itemData":{"author":[{"dropping-particle":"","family":"Glaeske","given":"Gerd","non-dropping-particle":"","parse-names":false,"suffix":""}],"container-title":"Jahrbuch Sucht","id":"ITEM-1","issued":{"date-parts":[["2017"]]},"title":"Medikamente 2015 – Psychotrope und andere Arzneimittel mit Missbrauchs- und Abhängigkeitspotential","type":"article-journal"},"uris":["http://www.mendeley.com/documents/?uuid=58824321-a50b-4a98-8cd8-9c7dfa5a4821"]}],"mendeley":{"formattedCitation":"&lt;sup&gt;2&lt;/sup&gt;","plainTextFormattedCitation":"2","previouslyFormattedCitation":"&lt;sup&gt;2&lt;/sup&gt;"},"properties":{"noteIndex":0},"schema":"https://github.com/citation-style-language/schema/raw/master/csl-citation.json"}</w:instrText>
      </w:r>
      <w:r w:rsidR="00987DE1">
        <w:rPr>
          <w:lang w:val="en"/>
        </w:rPr>
        <w:fldChar w:fldCharType="separate"/>
      </w:r>
      <w:r w:rsidR="009417E4" w:rsidRPr="009417E4">
        <w:rPr>
          <w:noProof/>
          <w:vertAlign w:val="superscript"/>
          <w:lang w:val="en"/>
        </w:rPr>
        <w:t>2</w:t>
      </w:r>
      <w:r w:rsidR="006E4BEC">
        <w:rPr>
          <w:lang w:val="en"/>
        </w:rPr>
        <w:t xml:space="preserve"> f</w:t>
      </w:r>
      <w:r>
        <w:rPr>
          <w:lang w:val="en"/>
        </w:rPr>
        <w:t>or</w:t>
      </w:r>
      <w:r w:rsidR="00987DE1">
        <w:rPr>
          <w:lang w:val="en"/>
        </w:rPr>
        <w:fldChar w:fldCharType="end"/>
      </w:r>
      <w:r w:rsidR="006E4BEC">
        <w:rPr>
          <w:lang w:val="en"/>
        </w:rPr>
        <w:t xml:space="preserve"> many </w:t>
      </w:r>
      <w:r w:rsidR="001C5DB5">
        <w:rPr>
          <w:lang w:val="en"/>
        </w:rPr>
        <w:t>years.</w:t>
      </w:r>
    </w:p>
    <w:p w14:paraId="279686F7" w14:textId="77777777" w:rsidR="006E4BEC" w:rsidRPr="006E4BEC" w:rsidRDefault="006E4BEC">
      <w:pPr>
        <w:rPr>
          <w:lang w:val="en-US"/>
        </w:rPr>
      </w:pPr>
    </w:p>
    <w:p w14:paraId="077FF82A" w14:textId="44C54895" w:rsidR="009417E4" w:rsidRDefault="00981A3C">
      <w:pPr>
        <w:rPr>
          <w:lang w:val="en"/>
        </w:rPr>
      </w:pPr>
      <w:r>
        <w:rPr>
          <w:lang w:val="en"/>
        </w:rPr>
        <w:t>In addition, Diclofenac has</w:t>
      </w:r>
      <w:r w:rsidR="00231B13">
        <w:rPr>
          <w:lang w:val="en"/>
        </w:rPr>
        <w:t xml:space="preserve"> an anti</w:t>
      </w:r>
      <w:r w:rsidR="006E4BEC">
        <w:rPr>
          <w:lang w:val="en"/>
        </w:rPr>
        <w:t>-</w:t>
      </w:r>
      <w:r w:rsidR="00231B13">
        <w:rPr>
          <w:lang w:val="en"/>
        </w:rPr>
        <w:t>phlogistic</w:t>
      </w:r>
      <w:r w:rsidR="006E4BEC">
        <w:rPr>
          <w:lang w:val="en"/>
        </w:rPr>
        <w:t xml:space="preserve"> </w:t>
      </w:r>
      <w:r w:rsidR="00231B13">
        <w:rPr>
          <w:lang w:val="en"/>
        </w:rPr>
        <w:t>anti-rheumatic effect and is counted among the non-selective non-steroidal anti-inflammatory drugs (non-selective</w:t>
      </w:r>
      <w:r w:rsidR="00C9381F">
        <w:rPr>
          <w:lang w:val="en"/>
        </w:rPr>
        <w:t xml:space="preserve"> </w:t>
      </w:r>
      <w:r w:rsidR="00231B13">
        <w:rPr>
          <w:lang w:val="en"/>
        </w:rPr>
        <w:t>NSA</w:t>
      </w:r>
      <w:r w:rsidR="00C9381F">
        <w:rPr>
          <w:lang w:val="en"/>
        </w:rPr>
        <w:t>ID</w:t>
      </w:r>
      <w:r w:rsidR="00231B13">
        <w:rPr>
          <w:lang w:val="en"/>
        </w:rPr>
        <w:t xml:space="preserve">) due to its inhibitory effect on both COX isoenzymes (COX-1 and COX-2). In Germany, </w:t>
      </w:r>
      <w:r w:rsidR="006E4BEC">
        <w:rPr>
          <w:lang w:val="en"/>
        </w:rPr>
        <w:t>D</w:t>
      </w:r>
      <w:r w:rsidR="00231B13">
        <w:rPr>
          <w:lang w:val="en"/>
        </w:rPr>
        <w:t>iclofenac</w:t>
      </w:r>
      <w:r>
        <w:rPr>
          <w:lang w:val="en"/>
        </w:rPr>
        <w:t xml:space="preserve"> is the most</w:t>
      </w:r>
      <w:r w:rsidR="00231B13">
        <w:rPr>
          <w:lang w:val="en"/>
        </w:rPr>
        <w:t xml:space="preserve"> common</w:t>
      </w:r>
      <w:r w:rsidR="006E4BEC">
        <w:rPr>
          <w:lang w:val="en"/>
        </w:rPr>
        <w:t xml:space="preserve"> administered active ingredient</w:t>
      </w:r>
      <w:r w:rsidR="006E4BEC">
        <w:rPr>
          <w:lang w:val="en"/>
        </w:rPr>
        <w:fldChar w:fldCharType="begin" w:fldLock="1"/>
      </w:r>
      <w:r w:rsidR="006E4BEC">
        <w:rPr>
          <w:lang w:val="en"/>
        </w:rPr>
        <w:instrText>ADDIN CSL_CITATION {"citationItems":[{"id":"ITEM-1","itemData":{"ISBN":"978-3-437-44490-6","author":[{"dropping-particle":"","family":"Aktories","given":"Klaus","non-dropping-particle":"","parse-names":false,"suffix":""},{"dropping-particle":"","family":"Förstermann","given":"Ulrich","non-dropping-particle":"","parse-names":false,"suffix":""},{"dropping-particle":"","family":"Hofmann","given":"Franz","non-dropping-particle":"","parse-names":false,"suffix":""},{"dropping-particle":"","family":"Starke","given":"Klaus","non-dropping-particle":"","parse-names":false,"suffix":""}],"edition":"9. Auflage","id":"ITEM-1","issued":{"date-parts":[["2005"]]},"publisher":"Urban &amp; Fischer Verlag","publisher-place":"München","title":"Allgemeine und spezielle Pharmakologie und Toxikologie","type":"book"},"uris":["http://www.mendeley.com/documents/?uuid=da54e5f6-ee24-4acf-9fcc-01dabfc2c63e"]}],"mendeley":{"formattedCitation":"&lt;sup&gt;1&lt;/sup&gt;","plainTextFormattedCitation":"1","previouslyFormattedCitation":"&lt;sup&gt;1&lt;/sup&gt;"},"properties":{"noteIndex":0},"schema":"https://github.com/citation-style-language/schema/raw/master/csl-citation.json"}</w:instrText>
      </w:r>
      <w:r w:rsidR="006E4BEC">
        <w:rPr>
          <w:lang w:val="en"/>
        </w:rPr>
        <w:fldChar w:fldCharType="separate"/>
      </w:r>
      <w:r w:rsidR="006E4BEC" w:rsidRPr="009417E4">
        <w:rPr>
          <w:noProof/>
          <w:vertAlign w:val="superscript"/>
          <w:lang w:val="en"/>
        </w:rPr>
        <w:t>1.</w:t>
      </w:r>
      <w:r w:rsidR="006E4BEC">
        <w:rPr>
          <w:lang w:val="en"/>
        </w:rPr>
        <w:fldChar w:fldCharType="end"/>
      </w:r>
      <w:r w:rsidR="006E4BEC">
        <w:rPr>
          <w:lang w:val="en"/>
        </w:rPr>
        <w:t xml:space="preserve">used to </w:t>
      </w:r>
      <w:r w:rsidR="00EC1B69">
        <w:rPr>
          <w:lang w:val="en"/>
        </w:rPr>
        <w:t>treat rheumatic arthritis</w:t>
      </w:r>
      <w:r w:rsidR="00231B13">
        <w:rPr>
          <w:lang w:val="en"/>
        </w:rPr>
        <w:t xml:space="preserve">. </w:t>
      </w:r>
    </w:p>
    <w:p w14:paraId="4472DA71" w14:textId="77777777" w:rsidR="006E4BEC" w:rsidRPr="006E4BEC" w:rsidRDefault="006E4BEC">
      <w:pPr>
        <w:rPr>
          <w:lang w:val="en-US"/>
        </w:rPr>
      </w:pPr>
    </w:p>
    <w:p w14:paraId="53601695" w14:textId="41D58466" w:rsidR="00231B13" w:rsidRDefault="00B13B70">
      <w:pPr>
        <w:rPr>
          <w:lang w:val="en"/>
        </w:rPr>
      </w:pPr>
      <w:r>
        <w:rPr>
          <w:lang w:val="en"/>
        </w:rPr>
        <w:t xml:space="preserve">The wide application, </w:t>
      </w:r>
      <w:r w:rsidR="006E4BEC">
        <w:rPr>
          <w:lang w:val="en"/>
        </w:rPr>
        <w:t>primarily</w:t>
      </w:r>
      <w:r w:rsidR="009417E4">
        <w:rPr>
          <w:lang w:val="en"/>
        </w:rPr>
        <w:t xml:space="preserve"> </w:t>
      </w:r>
      <w:r w:rsidR="006E4BEC">
        <w:rPr>
          <w:lang w:val="en"/>
        </w:rPr>
        <w:t>with</w:t>
      </w:r>
      <w:r>
        <w:rPr>
          <w:lang w:val="en"/>
        </w:rPr>
        <w:t xml:space="preserve">in Germany, generates a consumption of about 90 </w:t>
      </w:r>
      <w:r w:rsidR="00D12AD8">
        <w:rPr>
          <w:lang w:val="en"/>
        </w:rPr>
        <w:t>tons</w:t>
      </w:r>
      <w:r>
        <w:rPr>
          <w:lang w:val="en"/>
        </w:rPr>
        <w:t xml:space="preserve"> per year</w:t>
      </w:r>
      <w:r w:rsidR="00D12AD8">
        <w:rPr>
          <w:lang w:val="en"/>
        </w:rPr>
        <w:t xml:space="preserve"> in Germany</w:t>
      </w:r>
      <w:r>
        <w:rPr>
          <w:lang w:val="en"/>
        </w:rPr>
        <w:t xml:space="preserve">. </w:t>
      </w:r>
      <w:r w:rsidR="006E4BEC">
        <w:rPr>
          <w:lang w:val="en"/>
        </w:rPr>
        <w:t xml:space="preserve">This high consumption has costs however, as </w:t>
      </w:r>
      <w:r>
        <w:rPr>
          <w:lang w:val="en"/>
        </w:rPr>
        <w:t>only about 30</w:t>
      </w:r>
      <w:r w:rsidR="00E2264B">
        <w:rPr>
          <w:lang w:val="en"/>
        </w:rPr>
        <w:t> </w:t>
      </w:r>
      <w:r>
        <w:rPr>
          <w:lang w:val="en"/>
        </w:rPr>
        <w:t xml:space="preserve">% of the active substance is metabolized by the human body, the rest </w:t>
      </w:r>
      <w:r w:rsidR="006E4BEC">
        <w:rPr>
          <w:lang w:val="en"/>
        </w:rPr>
        <w:t>being</w:t>
      </w:r>
      <w:r>
        <w:rPr>
          <w:lang w:val="en"/>
        </w:rPr>
        <w:t xml:space="preserve"> excreted unchanged </w:t>
      </w:r>
      <w:r w:rsidR="006E4BEC">
        <w:rPr>
          <w:lang w:val="en"/>
        </w:rPr>
        <w:t>in</w:t>
      </w:r>
      <w:r>
        <w:rPr>
          <w:lang w:val="en"/>
        </w:rPr>
        <w:t xml:space="preserve"> urine. </w:t>
      </w:r>
      <w:r w:rsidR="006E4BEC">
        <w:rPr>
          <w:lang w:val="en"/>
        </w:rPr>
        <w:t>This leads to</w:t>
      </w:r>
      <w:r>
        <w:rPr>
          <w:lang w:val="en"/>
        </w:rPr>
        <w:t xml:space="preserve"> an estimated 63 tons of</w:t>
      </w:r>
      <w:r w:rsidR="009417E4">
        <w:rPr>
          <w:lang w:val="en"/>
        </w:rPr>
        <w:t xml:space="preserve"> </w:t>
      </w:r>
      <w:r w:rsidR="006E4BEC">
        <w:rPr>
          <w:lang w:val="en"/>
        </w:rPr>
        <w:t>Diclofenac</w:t>
      </w:r>
      <w:r>
        <w:rPr>
          <w:lang w:val="en"/>
        </w:rPr>
        <w:t xml:space="preserve"> per year in Germany</w:t>
      </w:r>
      <w:r w:rsidR="006E4BEC">
        <w:rPr>
          <w:lang w:val="en"/>
        </w:rPr>
        <w:t xml:space="preserve"> </w:t>
      </w:r>
      <w:r w:rsidR="009417E4">
        <w:rPr>
          <w:lang w:val="en"/>
        </w:rPr>
        <w:t>enter the water cycle</w:t>
      </w:r>
      <w:r w:rsidR="00EC1B69">
        <w:rPr>
          <w:lang w:val="en"/>
        </w:rPr>
        <w:fldChar w:fldCharType="begin" w:fldLock="1"/>
      </w:r>
      <w:r w:rsidR="00B32F06">
        <w:rPr>
          <w:lang w:val="en"/>
        </w:rPr>
        <w:instrText>ADDIN CSL_CITATION {"citationItems":[{"id":"ITEM-1","itemData":{"author":[{"dropping-particle":"","family":"Meißner","given":"Marc","non-dropping-particle":"","parse-names":false,"suffix":""}],"container-title":"Dtsch Arztebl International","id":"ITEM-1","issue":"24","issued":{"date-parts":[["2008","6","13"]]},"page":"A-1324","title":"Arzneimittel in der Umwelt: Natur als Medikamentendeponie","type":"article-journal","volume":"105"},"uris":["http://www.mendeley.com/documents/?uuid=5e480fd1-2c44-4cc1-92a1-5045bcef1f6c"]}],"mendeley":{"formattedCitation":"&lt;sup&gt;3&lt;/sup&gt;","plainTextFormattedCitation":"3","previouslyFormattedCitation":"&lt;sup&gt;3&lt;/sup&gt;"},"properties":{"noteIndex":0},"schema":"https://github.com/citation-style-language/schema/raw/master/csl-citation.json"}</w:instrText>
      </w:r>
      <w:r w:rsidR="00EC1B69">
        <w:rPr>
          <w:lang w:val="en"/>
        </w:rPr>
        <w:fldChar w:fldCharType="separate"/>
      </w:r>
      <w:r w:rsidR="00EC1B69" w:rsidRPr="00EC1B69">
        <w:rPr>
          <w:noProof/>
          <w:vertAlign w:val="superscript"/>
          <w:lang w:val="en"/>
        </w:rPr>
        <w:t>3</w:t>
      </w:r>
      <w:r w:rsidR="00EC1B69">
        <w:rPr>
          <w:lang w:val="en"/>
        </w:rPr>
        <w:fldChar w:fldCharType="end"/>
      </w:r>
      <w:r>
        <w:rPr>
          <w:lang w:val="en"/>
        </w:rPr>
        <w:t>.</w:t>
      </w:r>
    </w:p>
    <w:p w14:paraId="01F45EB1" w14:textId="77777777" w:rsidR="006E4BEC" w:rsidRPr="006E4BEC" w:rsidRDefault="006E4BEC">
      <w:pPr>
        <w:rPr>
          <w:lang w:val="en-US"/>
        </w:rPr>
      </w:pPr>
    </w:p>
    <w:p w14:paraId="284F3C3B" w14:textId="1AEF93BC" w:rsidR="00512857" w:rsidRDefault="00CC4967">
      <w:pPr>
        <w:rPr>
          <w:lang w:val="en"/>
        </w:rPr>
      </w:pPr>
      <w:r>
        <w:rPr>
          <w:lang w:val="en"/>
        </w:rPr>
        <w:t xml:space="preserve">Due to its high stability and water solubility, </w:t>
      </w:r>
      <w:r w:rsidR="006E4BEC">
        <w:rPr>
          <w:lang w:val="en"/>
        </w:rPr>
        <w:t>D</w:t>
      </w:r>
      <w:r>
        <w:rPr>
          <w:lang w:val="en"/>
        </w:rPr>
        <w:t>iclofenac is</w:t>
      </w:r>
      <w:r w:rsidR="00EC1B69">
        <w:rPr>
          <w:lang w:val="en"/>
        </w:rPr>
        <w:t xml:space="preserve"> poorly filtered out in conventional wastewater treatment plants. Although </w:t>
      </w:r>
      <w:r w:rsidR="006E4BEC">
        <w:rPr>
          <w:lang w:val="en"/>
        </w:rPr>
        <w:t>D</w:t>
      </w:r>
      <w:r w:rsidR="00EC1B69">
        <w:rPr>
          <w:lang w:val="en"/>
        </w:rPr>
        <w:t>iclofenac</w:t>
      </w:r>
      <w:r>
        <w:rPr>
          <w:lang w:val="en"/>
        </w:rPr>
        <w:t xml:space="preserve"> does not pose</w:t>
      </w:r>
      <w:r w:rsidR="00EC1B69">
        <w:rPr>
          <w:lang w:val="en"/>
        </w:rPr>
        <w:t xml:space="preserve"> an acute danger </w:t>
      </w:r>
      <w:r>
        <w:rPr>
          <w:lang w:val="en"/>
        </w:rPr>
        <w:t xml:space="preserve">to humans in the concentrations </w:t>
      </w:r>
      <w:r w:rsidR="006E4BEC">
        <w:rPr>
          <w:lang w:val="en"/>
        </w:rPr>
        <w:t xml:space="preserve">for which </w:t>
      </w:r>
      <w:r>
        <w:rPr>
          <w:lang w:val="en"/>
        </w:rPr>
        <w:t>it is found in</w:t>
      </w:r>
      <w:r w:rsidR="00EC1B69">
        <w:rPr>
          <w:lang w:val="en"/>
        </w:rPr>
        <w:t xml:space="preserve"> German waters,</w:t>
      </w:r>
      <w:r w:rsidR="006E4BEC">
        <w:rPr>
          <w:lang w:val="en"/>
        </w:rPr>
        <w:t xml:space="preserve"> </w:t>
      </w:r>
      <w:r>
        <w:rPr>
          <w:lang w:val="en"/>
        </w:rPr>
        <w:t xml:space="preserve">it is highly toxic to aquatic </w:t>
      </w:r>
      <w:r w:rsidR="00B32F06">
        <w:rPr>
          <w:lang w:val="en"/>
        </w:rPr>
        <w:t xml:space="preserve">organisms. More modern sewage treatment plants are trying to solve this problem by additional purification </w:t>
      </w:r>
      <w:r w:rsidR="006E4BEC">
        <w:rPr>
          <w:lang w:val="en"/>
        </w:rPr>
        <w:t>(ie</w:t>
      </w:r>
      <w:r w:rsidR="00B32F06">
        <w:rPr>
          <w:lang w:val="en"/>
        </w:rPr>
        <w:t xml:space="preserve"> nanofiltration, ozone or activated carbon</w:t>
      </w:r>
      <w:r w:rsidR="006E4BEC">
        <w:rPr>
          <w:lang w:val="en"/>
        </w:rPr>
        <w:t>)</w:t>
      </w:r>
      <w:r w:rsidR="00B32F06">
        <w:rPr>
          <w:lang w:val="en"/>
        </w:rPr>
        <w:t>.</w:t>
      </w:r>
      <w:r>
        <w:rPr>
          <w:lang w:val="en"/>
        </w:rPr>
        <w:t xml:space="preserve"> </w:t>
      </w:r>
      <w:r w:rsidR="00512857">
        <w:rPr>
          <w:lang w:val="en"/>
        </w:rPr>
        <w:t>In addition to the high costs</w:t>
      </w:r>
      <w:r w:rsidR="006E4BEC">
        <w:rPr>
          <w:lang w:val="en"/>
        </w:rPr>
        <w:t>,</w:t>
      </w:r>
      <w:r w:rsidR="00512857">
        <w:rPr>
          <w:lang w:val="en"/>
        </w:rPr>
        <w:t xml:space="preserve"> the lack of experimental data on emerging products in the application of non-specific degradation methods, such as</w:t>
      </w:r>
      <w:r>
        <w:rPr>
          <w:lang w:val="en"/>
        </w:rPr>
        <w:t xml:space="preserve"> </w:t>
      </w:r>
      <w:r w:rsidR="00512857">
        <w:rPr>
          <w:lang w:val="en"/>
        </w:rPr>
        <w:t>ozone,</w:t>
      </w:r>
      <w:r w:rsidR="006E4BEC">
        <w:rPr>
          <w:lang w:val="en"/>
        </w:rPr>
        <w:t xml:space="preserve"> </w:t>
      </w:r>
      <w:r>
        <w:rPr>
          <w:lang w:val="en"/>
        </w:rPr>
        <w:t>make</w:t>
      </w:r>
      <w:r w:rsidR="006E4BEC">
        <w:rPr>
          <w:lang w:val="en"/>
        </w:rPr>
        <w:t xml:space="preserve"> </w:t>
      </w:r>
      <w:r w:rsidR="00512857">
        <w:rPr>
          <w:lang w:val="en"/>
        </w:rPr>
        <w:t>these far from ideal. Recent work, including our project, ha</w:t>
      </w:r>
      <w:r w:rsidR="006E4BEC">
        <w:rPr>
          <w:lang w:val="en"/>
        </w:rPr>
        <w:t>ve</w:t>
      </w:r>
      <w:r w:rsidR="00512857">
        <w:rPr>
          <w:lang w:val="en"/>
        </w:rPr>
        <w:t xml:space="preserve"> set </w:t>
      </w:r>
      <w:r w:rsidR="006E4BEC">
        <w:rPr>
          <w:lang w:val="en"/>
        </w:rPr>
        <w:t>them</w:t>
      </w:r>
      <w:r w:rsidR="00512857">
        <w:rPr>
          <w:lang w:val="en"/>
        </w:rPr>
        <w:t>se</w:t>
      </w:r>
      <w:r w:rsidR="006E4BEC">
        <w:rPr>
          <w:lang w:val="en"/>
        </w:rPr>
        <w:t>lves</w:t>
      </w:r>
      <w:r w:rsidR="00512857">
        <w:rPr>
          <w:lang w:val="en"/>
        </w:rPr>
        <w:t xml:space="preserve"> the objective of investigating the use of enzymes as catalysts for the degradation of micropollutants such as </w:t>
      </w:r>
      <w:r w:rsidR="006E4BEC">
        <w:rPr>
          <w:lang w:val="en"/>
        </w:rPr>
        <w:t>D</w:t>
      </w:r>
      <w:r w:rsidR="00512857">
        <w:rPr>
          <w:lang w:val="en"/>
        </w:rPr>
        <w:t>iclofenac</w:t>
      </w:r>
      <w:r w:rsidR="00B32F06">
        <w:rPr>
          <w:lang w:val="en"/>
        </w:rPr>
        <w:fldChar w:fldCharType="begin" w:fldLock="1"/>
      </w:r>
      <w:r w:rsidR="00FD3896">
        <w:rPr>
          <w:lang w:val="en"/>
        </w:rPr>
        <w:instrText>ADDIN CSL_CITATION {"citationItems":[{"id":"ITEM-1","itemData":{"author":[{"dropping-particle":"","family":"Meißner","given":"Marc","non-dropping-particle":"","parse-names":false,"suffix":""}],"container-title":"Dtsch Arztebl International","id":"ITEM-1","issue":"24","issued":{"date-parts":[["2008","6","13"]]},"page":"A-1324","title":"Arzneimittel in der Umwelt: Natur als Medikamentendeponie","type":"article-journal","volume":"105"},"uris":["http://www.mendeley.com/documents/?uuid=5e480fd1-2c44-4cc1-92a1-5045bcef1f6c"]}],"mendeley":{"formattedCitation":"&lt;sup&gt;3&lt;/sup&gt;","plainTextFormattedCitation":"3","previouslyFormattedCitation":"&lt;sup&gt;3&lt;/sup&gt;"},"properties":{"noteIndex":0},"schema":"https://github.com/citation-style-language/schema/raw/master/csl-citation.json"}</w:instrText>
      </w:r>
      <w:r w:rsidR="00B32F06">
        <w:rPr>
          <w:lang w:val="en"/>
        </w:rPr>
        <w:fldChar w:fldCharType="separate"/>
      </w:r>
      <w:r w:rsidR="00B32F06" w:rsidRPr="00B32F06">
        <w:rPr>
          <w:noProof/>
          <w:vertAlign w:val="superscript"/>
          <w:lang w:val="en"/>
        </w:rPr>
        <w:t>3</w:t>
      </w:r>
      <w:r w:rsidR="00B32F06">
        <w:rPr>
          <w:lang w:val="en"/>
        </w:rPr>
        <w:fldChar w:fldCharType="end"/>
      </w:r>
      <w:r w:rsidR="00B32F06">
        <w:rPr>
          <w:vertAlign w:val="superscript"/>
          <w:lang w:val="en"/>
        </w:rPr>
        <w:t>,</w:t>
      </w:r>
      <w:r w:rsidR="00B32F06">
        <w:rPr>
          <w:lang w:val="en"/>
        </w:rPr>
        <w:fldChar w:fldCharType="begin" w:fldLock="1"/>
      </w:r>
      <w:r w:rsidR="00B32F06">
        <w:rPr>
          <w:lang w:val="en"/>
        </w:rPr>
        <w:instrText>ADDIN CSL_CITATION {"citationItems":[{"id":"ITEM-1","itemData":{"DOI":"10.1016/j.envint.2019.01.011","ISSN":"18736750","abstract":"The widespread occurrence and adverse environmental and health-related impacts of various types of emerging contaminants (ECs) have become an issue of high concern. With ever increasing scientific knowledge, socio-economic awareness, health-related problems and ecological apprehensions, people are more concerned about the widespread ECs, around the globe. Among ECs, biologically active compounds from pharmaceutical, cosmeceutical, biomedical, personal care products (PPCPs), endocrine-disrupting chemicals (EDCs), and flame-retardants are of paramount concern. The presence and persistence of ECs in water bodies are of continued and burning interest, worldwide. Various types of ECs are being discharged knowingly/unknowingly with/without partial treatments into the aquatic environments that pose serious health issues and affects the entire living ecosystem. So far, various approaches have been developed for ECs degradation and removal to diminish their adverse impact. Many previous and/or ongoing studies have focused on contaminants degradation and efficient removal via numerous treatment strategies, i.e. (1) physical, (2) chemical and (3) biological. However, the experimental evidence is lacking to enable specific predictions about ECs mechanistic degradation and removal fate across various in-practice systems. In this context, the deployment oxidoreductases such as peroxidases (lignin peroxidases, manganese-dependent peroxidases, and horseradish peroxidase), aromatic dioxygenases, various oxygenases, laccases, and tyrosinases have received considerable research attention. Immobilization is highlighted as a promising approach to improve enzyme catalytic performance and stabilization, as well as, to protect the three-dimensional structure of the enzyme against the undesirable consequences of harsh reaction environment. This work overviews the current and state-of-the-art critical aspect related to hazardous pollutants at large and ECs in particular by the immobilized oxidoreductase enzymes. The first part of the review focuses on the occurrence, physiochemical behavior, potent sources and significant routes of ECs. Following that, environmentally-related adverse impacts and health-related issues of ECs are discussed in the second part. In the third part, biodegradation and removal strategies with a comparative overview of several conventional vs. non-conventional methods are presented briefly. The fourth part majorly focuses on operational modes of differen…","author":[{"dropping-particle":"","family":"Bilal","given":"Muhammad","non-dropping-particle":"","parse-names":false,"suffix":""},{"dropping-particle":"","family":"Adeel","given":"Muhammad","non-dropping-particle":"","parse-names":false,"suffix":""},{"dropping-particle":"","family":"Rasheed","given":"Tahir","non-dropping-particle":"","parse-names":false,"suffix":""},{"dropping-particle":"","family":"Zhao","given":"Yuping","non-dropping-particle":"","parse-names":false,"suffix":""},{"dropping-particle":"","family":"Iqbal","given":"Hafiz M.N.","non-dropping-particle":"","parse-names":false,"suffix":""}],"container-title":"Environment International","id":"ITEM-1","issued":{"date-parts":[["2019"]]},"title":"Emerging contaminants of high concern and their enzyme-assisted biodegradation – A review","type":"article"},"uris":["http://www.mendeley.com/documents/?uuid=2798fcef-caa3-48a3-b5aa-373cda821b7f"]}],"mendeley":{"formattedCitation":"&lt;sup&gt;4&lt;/sup&gt;","plainTextFormattedCitation":"4","previouslyFormattedCitation":"&lt;sup&gt;4&lt;/sup&gt;"},"properties":{"noteIndex":0},"schema":"https://github.com/citation-style-language/schema/raw/master/csl-citation.json"}</w:instrText>
      </w:r>
      <w:r w:rsidR="00B32F06">
        <w:rPr>
          <w:lang w:val="en"/>
        </w:rPr>
        <w:fldChar w:fldCharType="separate"/>
      </w:r>
      <w:r w:rsidR="00B32F06" w:rsidRPr="00B32F06">
        <w:rPr>
          <w:noProof/>
          <w:vertAlign w:val="superscript"/>
          <w:lang w:val="en"/>
        </w:rPr>
        <w:t>4</w:t>
      </w:r>
      <w:r w:rsidR="00B32F06">
        <w:rPr>
          <w:lang w:val="en"/>
        </w:rPr>
        <w:fldChar w:fldCharType="end"/>
      </w:r>
      <w:r w:rsidR="00512857">
        <w:rPr>
          <w:lang w:val="en"/>
        </w:rPr>
        <w:t>.</w:t>
      </w:r>
    </w:p>
    <w:p w14:paraId="6556E28C" w14:textId="77777777" w:rsidR="006E4BEC" w:rsidRPr="006E4BEC" w:rsidRDefault="006E4BEC">
      <w:pPr>
        <w:rPr>
          <w:lang w:val="en-US"/>
        </w:rPr>
      </w:pPr>
    </w:p>
    <w:p w14:paraId="02C65EB5" w14:textId="464FC1D0" w:rsidR="00EC1B69" w:rsidRDefault="00FD3896">
      <w:pPr>
        <w:rPr>
          <w:lang w:val="en"/>
        </w:rPr>
      </w:pPr>
      <w:r>
        <w:rPr>
          <w:lang w:val="en"/>
        </w:rPr>
        <w:t>We therefore hope to establish a self-sustaining, enzyme-based system, which is characterized by a high turnover rate, low maintenance and low costs</w:t>
      </w:r>
      <w:bookmarkEnd w:id="0"/>
      <w:bookmarkEnd w:id="1"/>
      <w:bookmarkEnd w:id="2"/>
      <w:r w:rsidR="006E4BEC">
        <w:rPr>
          <w:lang w:val="en"/>
        </w:rPr>
        <w:t>.</w:t>
      </w:r>
      <w:r w:rsidR="00DA3643">
        <w:rPr>
          <w:lang w:val="en"/>
        </w:rPr>
        <w:t xml:space="preserve"> In addition, the use of enzymes and the specificity associated with them should make it predictable which reaction products </w:t>
      </w:r>
      <w:r w:rsidR="00512857">
        <w:rPr>
          <w:lang w:val="en"/>
        </w:rPr>
        <w:t xml:space="preserve">are produced during the degradation of </w:t>
      </w:r>
      <w:r w:rsidR="006E4BEC">
        <w:rPr>
          <w:lang w:val="en"/>
        </w:rPr>
        <w:t>D</w:t>
      </w:r>
      <w:r w:rsidR="00DA3643">
        <w:rPr>
          <w:lang w:val="en"/>
        </w:rPr>
        <w:t>iclofenac, so that a</w:t>
      </w:r>
      <w:r w:rsidR="006E4BEC">
        <w:rPr>
          <w:lang w:val="en"/>
        </w:rPr>
        <w:t xml:space="preserve"> disruption</w:t>
      </w:r>
      <w:r w:rsidR="00DA3643">
        <w:rPr>
          <w:lang w:val="en"/>
        </w:rPr>
        <w:t xml:space="preserve"> of environmental </w:t>
      </w:r>
      <w:r w:rsidR="006E4BEC">
        <w:rPr>
          <w:lang w:val="en"/>
        </w:rPr>
        <w:t>homeostasis</w:t>
      </w:r>
      <w:r w:rsidR="00DA3643">
        <w:rPr>
          <w:lang w:val="en"/>
        </w:rPr>
        <w:t xml:space="preserve"> </w:t>
      </w:r>
      <w:r w:rsidR="006E4BEC">
        <w:rPr>
          <w:lang w:val="en"/>
        </w:rPr>
        <w:t xml:space="preserve">by possibly toxic products </w:t>
      </w:r>
      <w:r w:rsidR="00DA3643">
        <w:rPr>
          <w:lang w:val="en"/>
        </w:rPr>
        <w:t>can be avoided.</w:t>
      </w:r>
    </w:p>
    <w:p w14:paraId="0F0BD16C" w14:textId="536DE0B8" w:rsidR="006E4BEC" w:rsidRDefault="006E4BEC">
      <w:pPr>
        <w:rPr>
          <w:lang w:val="en"/>
        </w:rPr>
      </w:pPr>
    </w:p>
    <w:p w14:paraId="3952CD6F" w14:textId="3F8872E9" w:rsidR="006E4BEC" w:rsidRDefault="006E4BEC">
      <w:pPr>
        <w:rPr>
          <w:lang w:val="en-US"/>
        </w:rPr>
      </w:pPr>
      <w:r>
        <w:rPr>
          <w:noProof/>
        </w:rPr>
        <w:lastRenderedPageBreak/>
        <w:drawing>
          <wp:inline distT="0" distB="0" distL="0" distR="0" wp14:anchorId="25492077" wp14:editId="67017F95">
            <wp:extent cx="5756910" cy="477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6910" cy="4770755"/>
                    </a:xfrm>
                    <a:prstGeom prst="rect">
                      <a:avLst/>
                    </a:prstGeom>
                    <a:noFill/>
                    <a:ln>
                      <a:noFill/>
                    </a:ln>
                  </pic:spPr>
                </pic:pic>
              </a:graphicData>
            </a:graphic>
          </wp:inline>
        </w:drawing>
      </w:r>
    </w:p>
    <w:p w14:paraId="70AD312E" w14:textId="3B61A289" w:rsidR="006E4BEC" w:rsidRPr="006E4BEC" w:rsidRDefault="006E4BEC">
      <w:pPr>
        <w:rPr>
          <w:lang w:val="en-US"/>
        </w:rPr>
      </w:pPr>
      <w:r>
        <w:rPr>
          <w:lang w:val="en-US"/>
        </w:rPr>
        <w:t xml:space="preserve">Structure of </w:t>
      </w:r>
      <w:r w:rsidR="00974C34">
        <w:rPr>
          <w:lang w:val="en-US"/>
        </w:rPr>
        <w:t>D</w:t>
      </w:r>
      <w:r>
        <w:rPr>
          <w:lang w:val="en-US"/>
        </w:rPr>
        <w:t>iclofenac, created in</w:t>
      </w:r>
      <w:r w:rsidRPr="006E4BEC">
        <w:rPr>
          <w:lang w:val="en-US"/>
        </w:rPr>
        <w:t xml:space="preserve"> MarvinSketch, version 20.2.0, developed by ChemAxon, https://chemaxon.com/products/marvin, 2020.</w:t>
      </w:r>
    </w:p>
    <w:p w14:paraId="0F2BECDF" w14:textId="77777777" w:rsidR="00FD3896" w:rsidRPr="006E4BEC" w:rsidRDefault="00FD3896">
      <w:pPr>
        <w:rPr>
          <w:lang w:val="en-US"/>
        </w:rPr>
      </w:pPr>
    </w:p>
    <w:commentRangeStart w:id="4"/>
    <w:p w14:paraId="232AD373" w14:textId="5B8A0B1B" w:rsidR="00FD3896" w:rsidRPr="006E4BEC" w:rsidRDefault="00FD3896" w:rsidP="00FD3896">
      <w:pPr>
        <w:widowControl w:val="0"/>
        <w:autoSpaceDE w:val="0"/>
        <w:autoSpaceDN w:val="0"/>
        <w:adjustRightInd w:val="0"/>
        <w:spacing w:line="240" w:lineRule="auto"/>
        <w:ind w:left="640" w:hanging="640"/>
        <w:rPr>
          <w:rFonts w:ascii="Calibri" w:hAnsi="Calibri" w:cs="Calibri"/>
          <w:noProof/>
          <w:lang w:val="en-US"/>
        </w:rPr>
      </w:pPr>
      <w:r>
        <w:rPr>
          <w:lang w:val="en"/>
        </w:rPr>
        <w:fldChar w:fldCharType="begin" w:fldLock="1"/>
      </w:r>
      <w:r>
        <w:rPr>
          <w:lang w:val="en"/>
        </w:rPr>
        <w:instrText xml:space="preserve">ADDIN Mendeley Bibliography CSL_BIBLIOGRAPHY </w:instrText>
      </w:r>
      <w:r>
        <w:rPr>
          <w:lang w:val="en"/>
        </w:rPr>
        <w:fldChar w:fldCharType="separate"/>
      </w:r>
      <w:r w:rsidRPr="00FD3896">
        <w:rPr>
          <w:noProof/>
          <w:lang w:val="en"/>
        </w:rPr>
        <w:t xml:space="preserve">(1) Acctories, K.; Förstermann, U.; Hofmann, F.; Strong, K. </w:t>
      </w:r>
      <w:r w:rsidRPr="00FD3896">
        <w:rPr>
          <w:i/>
          <w:iCs/>
          <w:noProof/>
          <w:lang w:val="en"/>
        </w:rPr>
        <w:t>General and Special Pharmacology And Toxicology</w:t>
      </w:r>
      <w:r w:rsidRPr="00FD3896">
        <w:rPr>
          <w:noProof/>
          <w:lang w:val="en"/>
        </w:rPr>
        <w:t>, 9th edition.; Urban &amp; Fischer Verlag: Munich,</w:t>
      </w:r>
      <w:r>
        <w:rPr>
          <w:lang w:val="en"/>
        </w:rPr>
        <w:t xml:space="preserve"> </w:t>
      </w:r>
      <w:r w:rsidRPr="00FD3896">
        <w:rPr>
          <w:b/>
          <w:bCs/>
          <w:noProof/>
          <w:lang w:val="en"/>
        </w:rPr>
        <w:t>2005</w:t>
      </w:r>
      <w:r w:rsidRPr="00FD3896">
        <w:rPr>
          <w:noProof/>
          <w:lang w:val="en"/>
        </w:rPr>
        <w:t>.</w:t>
      </w:r>
    </w:p>
    <w:p w14:paraId="3CFEA23E" w14:textId="59D8FBCD" w:rsidR="00FD3896" w:rsidRPr="006E4BEC" w:rsidRDefault="00FD3896" w:rsidP="00FD3896">
      <w:pPr>
        <w:widowControl w:val="0"/>
        <w:autoSpaceDE w:val="0"/>
        <w:autoSpaceDN w:val="0"/>
        <w:adjustRightInd w:val="0"/>
        <w:spacing w:line="240" w:lineRule="auto"/>
        <w:ind w:left="640" w:hanging="640"/>
        <w:rPr>
          <w:rFonts w:ascii="Calibri" w:hAnsi="Calibri" w:cs="Calibri"/>
          <w:noProof/>
          <w:lang w:val="en-US"/>
        </w:rPr>
      </w:pPr>
      <w:r w:rsidRPr="00FD3896">
        <w:rPr>
          <w:noProof/>
          <w:lang w:val="en"/>
        </w:rPr>
        <w:t xml:space="preserve">(2) Glaeske, G. Drugs 2015 – Psychotropic and Other Medicines With Potential for Abuse and Addiction. </w:t>
      </w:r>
      <w:r w:rsidRPr="00FD3896">
        <w:rPr>
          <w:i/>
          <w:iCs/>
          <w:noProof/>
          <w:lang w:val="en"/>
        </w:rPr>
        <w:t>Yearb. Search</w:t>
      </w:r>
      <w:r w:rsidRPr="00FD3896">
        <w:rPr>
          <w:b/>
          <w:bCs/>
          <w:noProof/>
          <w:lang w:val="en"/>
        </w:rPr>
        <w:t xml:space="preserve"> 2017</w:t>
      </w:r>
      <w:r w:rsidRPr="00FD3896">
        <w:rPr>
          <w:noProof/>
          <w:lang w:val="en"/>
        </w:rPr>
        <w:t>.</w:t>
      </w:r>
    </w:p>
    <w:p w14:paraId="0FA2F899" w14:textId="77777777" w:rsidR="00FD3896" w:rsidRPr="006E4BEC" w:rsidRDefault="00FD3896" w:rsidP="00FD3896">
      <w:pPr>
        <w:widowControl w:val="0"/>
        <w:autoSpaceDE w:val="0"/>
        <w:autoSpaceDN w:val="0"/>
        <w:adjustRightInd w:val="0"/>
        <w:spacing w:line="240" w:lineRule="auto"/>
        <w:ind w:left="640" w:hanging="640"/>
        <w:rPr>
          <w:rFonts w:ascii="Calibri" w:hAnsi="Calibri" w:cs="Calibri"/>
          <w:noProof/>
          <w:lang w:val="en-US"/>
        </w:rPr>
      </w:pPr>
      <w:r w:rsidRPr="00FD3896">
        <w:rPr>
          <w:noProof/>
          <w:lang w:val="en"/>
        </w:rPr>
        <w:t xml:space="preserve">(3) Meißner, M. Medicines in The Environment: Nature as a drug dump. </w:t>
      </w:r>
      <w:r w:rsidRPr="00FD3896">
        <w:rPr>
          <w:i/>
          <w:iCs/>
          <w:noProof/>
          <w:lang w:val="en"/>
        </w:rPr>
        <w:t>Dtsch Arztebl Int.</w:t>
      </w:r>
      <w:r>
        <w:rPr>
          <w:lang w:val="en"/>
        </w:rPr>
        <w:t xml:space="preserve"> </w:t>
      </w:r>
      <w:r w:rsidRPr="00FD3896">
        <w:rPr>
          <w:b/>
          <w:bCs/>
          <w:noProof/>
          <w:lang w:val="en"/>
        </w:rPr>
        <w:t>2008</w:t>
      </w:r>
      <w:r w:rsidRPr="00FD3896">
        <w:rPr>
          <w:noProof/>
          <w:lang w:val="en"/>
        </w:rPr>
        <w:t xml:space="preserve">, </w:t>
      </w:r>
      <w:r>
        <w:rPr>
          <w:lang w:val="en"/>
        </w:rPr>
        <w:t xml:space="preserve"> </w:t>
      </w:r>
      <w:r w:rsidRPr="00FD3896">
        <w:rPr>
          <w:i/>
          <w:iCs/>
          <w:noProof/>
          <w:lang w:val="en"/>
        </w:rPr>
        <w:t>105</w:t>
      </w:r>
      <w:r>
        <w:rPr>
          <w:lang w:val="en"/>
        </w:rPr>
        <w:t xml:space="preserve"> </w:t>
      </w:r>
      <w:r w:rsidRPr="00FD3896">
        <w:rPr>
          <w:noProof/>
          <w:lang w:val="en"/>
        </w:rPr>
        <w:t xml:space="preserve"> (24), A-1324.</w:t>
      </w:r>
    </w:p>
    <w:p w14:paraId="7A27B169" w14:textId="77777777" w:rsidR="00FD3896" w:rsidRPr="006E4BEC" w:rsidRDefault="00FD3896" w:rsidP="00FD3896">
      <w:pPr>
        <w:widowControl w:val="0"/>
        <w:autoSpaceDE w:val="0"/>
        <w:autoSpaceDN w:val="0"/>
        <w:adjustRightInd w:val="0"/>
        <w:spacing w:line="240" w:lineRule="auto"/>
        <w:ind w:left="640" w:hanging="640"/>
        <w:rPr>
          <w:rFonts w:ascii="Calibri" w:hAnsi="Calibri" w:cs="Calibri"/>
          <w:noProof/>
          <w:lang w:val="en-US"/>
        </w:rPr>
      </w:pPr>
      <w:r w:rsidRPr="00FD3896">
        <w:rPr>
          <w:noProof/>
          <w:lang w:val="en"/>
        </w:rPr>
        <w:t xml:space="preserve">(4) Bilal, M.; Adeel, M.; Rasheed, T.; Zhao, Y.; Iqbal, H. M. N. Emerging Contaminants of High Concern and Their Enzyme-Assisted Biodegradation – A Review. </w:t>
      </w:r>
      <w:r w:rsidRPr="00FD3896">
        <w:rPr>
          <w:i/>
          <w:iCs/>
          <w:noProof/>
          <w:lang w:val="en"/>
        </w:rPr>
        <w:t>Environment International</w:t>
      </w:r>
      <w:r w:rsidRPr="00FD3896">
        <w:rPr>
          <w:noProof/>
          <w:lang w:val="en"/>
        </w:rPr>
        <w:t xml:space="preserve">. </w:t>
      </w:r>
      <w:r w:rsidRPr="00FD3896">
        <w:rPr>
          <w:b/>
          <w:bCs/>
          <w:noProof/>
          <w:lang w:val="en"/>
        </w:rPr>
        <w:t>2019</w:t>
      </w:r>
      <w:r w:rsidRPr="00FD3896">
        <w:rPr>
          <w:noProof/>
          <w:lang w:val="en"/>
        </w:rPr>
        <w:t>. https://doi.org/10.1016/j.envint.2019.01.011.</w:t>
      </w:r>
    </w:p>
    <w:p w14:paraId="5FCE1350" w14:textId="3DA852C1" w:rsidR="00FD3896" w:rsidRPr="006E4BEC" w:rsidRDefault="00FD3896">
      <w:pPr>
        <w:rPr>
          <w:lang w:val="en-US"/>
        </w:rPr>
      </w:pPr>
      <w:r>
        <w:fldChar w:fldCharType="end"/>
      </w:r>
      <w:commentRangeEnd w:id="4"/>
      <w:r w:rsidR="0060121D">
        <w:rPr>
          <w:rStyle w:val="CommentReference"/>
        </w:rPr>
        <w:commentReference w:id="4"/>
      </w:r>
    </w:p>
    <w:p w14:paraId="262E58DC" w14:textId="77777777" w:rsidR="006E4BEC" w:rsidRPr="006E4BEC" w:rsidRDefault="006E4BEC">
      <w:pPr>
        <w:rPr>
          <w:lang w:val="en-US"/>
        </w:rPr>
      </w:pPr>
    </w:p>
    <w:sectPr w:rsidR="006E4BEC" w:rsidRPr="006E4BEC" w:rsidSect="00FF090D">
      <w:pgSz w:w="11900" w:h="16840"/>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Yannik Schermer" w:date="2020-04-02T14:25:00Z" w:initials="YS">
    <w:p w14:paraId="42BA38B4" w14:textId="77777777" w:rsidR="0060121D" w:rsidRPr="00C9381F" w:rsidRDefault="0060121D">
      <w:pPr>
        <w:pStyle w:val="CommentText"/>
        <w:rPr>
          <w:lang w:val="en-US"/>
        </w:rPr>
      </w:pPr>
      <w:r>
        <w:rPr>
          <w:rStyle w:val="CommentReference"/>
        </w:rPr>
        <w:annotationRef/>
      </w:r>
      <w:r w:rsidRPr="00C9381F">
        <w:rPr>
          <w:lang w:val="en-US"/>
        </w:rPr>
        <w:t>Acctories = Aktories; Strong = Starke</w:t>
      </w:r>
    </w:p>
    <w:p w14:paraId="07CC7ADD" w14:textId="77777777" w:rsidR="0060121D" w:rsidRPr="00C9381F" w:rsidRDefault="0060121D">
      <w:pPr>
        <w:pStyle w:val="CommentText"/>
        <w:rPr>
          <w:lang w:val="en-US"/>
        </w:rPr>
      </w:pPr>
    </w:p>
    <w:p w14:paraId="3185D017" w14:textId="77777777" w:rsidR="0060121D" w:rsidRPr="00C9381F" w:rsidRDefault="0060121D">
      <w:pPr>
        <w:pStyle w:val="CommentText"/>
        <w:rPr>
          <w:lang w:val="en-US"/>
        </w:rPr>
      </w:pPr>
      <w:r w:rsidRPr="00C9381F">
        <w:rPr>
          <w:lang w:val="en-US"/>
        </w:rPr>
        <w:t>Search = Addiction</w:t>
      </w:r>
    </w:p>
    <w:p w14:paraId="357E37A4" w14:textId="77777777" w:rsidR="0060121D" w:rsidRPr="00C9381F" w:rsidRDefault="0060121D">
      <w:pPr>
        <w:pStyle w:val="CommentText"/>
        <w:rPr>
          <w:lang w:val="en-US"/>
        </w:rPr>
      </w:pPr>
    </w:p>
    <w:p w14:paraId="1A390559" w14:textId="5F6D3E6C" w:rsidR="0060121D" w:rsidRDefault="0060121D">
      <w:pPr>
        <w:pStyle w:val="CommentText"/>
      </w:pPr>
      <w:r w:rsidRPr="00C9381F">
        <w:rPr>
          <w:lang w:val="en-US"/>
        </w:rPr>
        <w:t xml:space="preserve">In general I am not sure on how to cite foreign sources. </w:t>
      </w:r>
      <w:hyperlink r:id="rId1" w:history="1">
        <w:r w:rsidRPr="00C9381F">
          <w:rPr>
            <w:rStyle w:val="Hyperlink"/>
            <w:lang w:val="en-US"/>
          </w:rPr>
          <w:t>Here</w:t>
        </w:r>
      </w:hyperlink>
      <w:r w:rsidRPr="00C9381F">
        <w:rPr>
          <w:lang w:val="en-US"/>
        </w:rPr>
        <w:t xml:space="preserve"> with most citation styles they also give the original title plus a translated one. In the book I recently read there were some sources in Russian and they just translated the title and put a (In Russian) in brackets behind it. </w:t>
      </w:r>
      <w:r>
        <w:t>I really don’t know how to cite these sources properly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A3905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0743E" w16cex:dateUtc="2020-04-02T1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390559" w16cid:durableId="2230743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annik Schermer">
    <w15:presenceInfo w15:providerId="AD" w15:userId="S::yannik.schermer@tukl.onmicrosoft.com::b780bc7d-987b-4cf3-a9e8-e61a51da79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03C"/>
    <w:rsid w:val="00077CC5"/>
    <w:rsid w:val="001C5DB5"/>
    <w:rsid w:val="00231B13"/>
    <w:rsid w:val="00287474"/>
    <w:rsid w:val="00330E88"/>
    <w:rsid w:val="00333E08"/>
    <w:rsid w:val="0034350E"/>
    <w:rsid w:val="003B1684"/>
    <w:rsid w:val="00410410"/>
    <w:rsid w:val="0043241B"/>
    <w:rsid w:val="004D1B16"/>
    <w:rsid w:val="00512857"/>
    <w:rsid w:val="00522FF9"/>
    <w:rsid w:val="0060121D"/>
    <w:rsid w:val="006317BF"/>
    <w:rsid w:val="006E4BEC"/>
    <w:rsid w:val="00802DD1"/>
    <w:rsid w:val="008062F0"/>
    <w:rsid w:val="00853691"/>
    <w:rsid w:val="008F74F1"/>
    <w:rsid w:val="009417E4"/>
    <w:rsid w:val="00957125"/>
    <w:rsid w:val="00974C34"/>
    <w:rsid w:val="00981A3C"/>
    <w:rsid w:val="00987DE1"/>
    <w:rsid w:val="009A1D28"/>
    <w:rsid w:val="009B59D9"/>
    <w:rsid w:val="00A8735A"/>
    <w:rsid w:val="00B13B70"/>
    <w:rsid w:val="00B32F06"/>
    <w:rsid w:val="00B5038E"/>
    <w:rsid w:val="00BF74ED"/>
    <w:rsid w:val="00C9381F"/>
    <w:rsid w:val="00CA34BF"/>
    <w:rsid w:val="00CB52C1"/>
    <w:rsid w:val="00CC4967"/>
    <w:rsid w:val="00D12AD8"/>
    <w:rsid w:val="00D9503C"/>
    <w:rsid w:val="00DA3643"/>
    <w:rsid w:val="00DF7375"/>
    <w:rsid w:val="00E2264B"/>
    <w:rsid w:val="00E62C3D"/>
    <w:rsid w:val="00E71721"/>
    <w:rsid w:val="00EC1B69"/>
    <w:rsid w:val="00F138D6"/>
    <w:rsid w:val="00F917C4"/>
    <w:rsid w:val="00FD3896"/>
    <w:rsid w:val="00FF09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C9C36"/>
  <w15:chartTrackingRefBased/>
  <w15:docId w15:val="{68FEB42D-D704-4244-8183-F73E0093D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5DB5"/>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C5DB5"/>
    <w:rPr>
      <w:rFonts w:ascii="Times New Roman" w:hAnsi="Times New Roman" w:cs="Times New Roman"/>
      <w:sz w:val="18"/>
      <w:szCs w:val="18"/>
    </w:rPr>
  </w:style>
  <w:style w:type="character" w:styleId="PlaceholderText">
    <w:name w:val="Placeholder Text"/>
    <w:basedOn w:val="DefaultParagraphFont"/>
    <w:uiPriority w:val="99"/>
    <w:semiHidden/>
    <w:rsid w:val="006E4BEC"/>
    <w:rPr>
      <w:color w:val="808080"/>
    </w:rPr>
  </w:style>
  <w:style w:type="character" w:styleId="CommentReference">
    <w:name w:val="annotation reference"/>
    <w:basedOn w:val="DefaultParagraphFont"/>
    <w:uiPriority w:val="99"/>
    <w:semiHidden/>
    <w:unhideWhenUsed/>
    <w:rsid w:val="00E2264B"/>
    <w:rPr>
      <w:sz w:val="16"/>
      <w:szCs w:val="16"/>
    </w:rPr>
  </w:style>
  <w:style w:type="paragraph" w:styleId="CommentText">
    <w:name w:val="annotation text"/>
    <w:basedOn w:val="Normal"/>
    <w:link w:val="CommentTextChar"/>
    <w:uiPriority w:val="99"/>
    <w:semiHidden/>
    <w:unhideWhenUsed/>
    <w:rsid w:val="00E2264B"/>
    <w:pPr>
      <w:spacing w:line="240" w:lineRule="auto"/>
    </w:pPr>
    <w:rPr>
      <w:sz w:val="20"/>
      <w:szCs w:val="20"/>
    </w:rPr>
  </w:style>
  <w:style w:type="character" w:customStyle="1" w:styleId="CommentTextChar">
    <w:name w:val="Comment Text Char"/>
    <w:basedOn w:val="DefaultParagraphFont"/>
    <w:link w:val="CommentText"/>
    <w:uiPriority w:val="99"/>
    <w:semiHidden/>
    <w:rsid w:val="00E2264B"/>
    <w:rPr>
      <w:sz w:val="20"/>
      <w:szCs w:val="20"/>
    </w:rPr>
  </w:style>
  <w:style w:type="paragraph" w:styleId="CommentSubject">
    <w:name w:val="annotation subject"/>
    <w:basedOn w:val="CommentText"/>
    <w:next w:val="CommentText"/>
    <w:link w:val="CommentSubjectChar"/>
    <w:uiPriority w:val="99"/>
    <w:semiHidden/>
    <w:unhideWhenUsed/>
    <w:rsid w:val="00E2264B"/>
    <w:rPr>
      <w:b/>
      <w:bCs/>
    </w:rPr>
  </w:style>
  <w:style w:type="character" w:customStyle="1" w:styleId="CommentSubjectChar">
    <w:name w:val="Comment Subject Char"/>
    <w:basedOn w:val="CommentTextChar"/>
    <w:link w:val="CommentSubject"/>
    <w:uiPriority w:val="99"/>
    <w:semiHidden/>
    <w:rsid w:val="00E2264B"/>
    <w:rPr>
      <w:b/>
      <w:bCs/>
      <w:sz w:val="20"/>
      <w:szCs w:val="20"/>
    </w:rPr>
  </w:style>
  <w:style w:type="character" w:styleId="Hyperlink">
    <w:name w:val="Hyperlink"/>
    <w:basedOn w:val="DefaultParagraphFont"/>
    <w:uiPriority w:val="99"/>
    <w:unhideWhenUsed/>
    <w:rsid w:val="00E2264B"/>
    <w:rPr>
      <w:color w:val="0563C1" w:themeColor="hyperlink"/>
      <w:u w:val="single"/>
    </w:rPr>
  </w:style>
  <w:style w:type="character" w:styleId="UnresolvedMention">
    <w:name w:val="Unresolved Mention"/>
    <w:basedOn w:val="DefaultParagraphFont"/>
    <w:uiPriority w:val="99"/>
    <w:semiHidden/>
    <w:unhideWhenUsed/>
    <w:rsid w:val="00E22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295215">
      <w:bodyDiv w:val="1"/>
      <w:marLeft w:val="0"/>
      <w:marRight w:val="0"/>
      <w:marTop w:val="0"/>
      <w:marBottom w:val="0"/>
      <w:divBdr>
        <w:top w:val="none" w:sz="0" w:space="0" w:color="auto"/>
        <w:left w:val="none" w:sz="0" w:space="0" w:color="auto"/>
        <w:bottom w:val="none" w:sz="0" w:space="0" w:color="auto"/>
        <w:right w:val="none" w:sz="0" w:space="0" w:color="auto"/>
      </w:divBdr>
      <w:divsChild>
        <w:div w:id="1276597742">
          <w:marLeft w:val="0"/>
          <w:marRight w:val="0"/>
          <w:marTop w:val="0"/>
          <w:marBottom w:val="0"/>
          <w:divBdr>
            <w:top w:val="none" w:sz="0" w:space="0" w:color="auto"/>
            <w:left w:val="none" w:sz="0" w:space="0" w:color="auto"/>
            <w:bottom w:val="none" w:sz="0" w:space="0" w:color="auto"/>
            <w:right w:val="none" w:sz="0" w:space="0" w:color="auto"/>
          </w:divBdr>
          <w:divsChild>
            <w:div w:id="557479522">
              <w:marLeft w:val="0"/>
              <w:marRight w:val="0"/>
              <w:marTop w:val="0"/>
              <w:marBottom w:val="0"/>
              <w:divBdr>
                <w:top w:val="none" w:sz="0" w:space="0" w:color="auto"/>
                <w:left w:val="none" w:sz="0" w:space="0" w:color="auto"/>
                <w:bottom w:val="none" w:sz="0" w:space="0" w:color="auto"/>
                <w:right w:val="none" w:sz="0" w:space="0" w:color="auto"/>
              </w:divBdr>
              <w:divsChild>
                <w:div w:id="33234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citethisforme.com/blog/2019/02/20/cite-a-a-foreign-language-source" TargetMode="External"/></Relationship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94B6E-43D0-4ECF-9D98-E3A3B65EE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Pages>
  <Words>1728</Words>
  <Characters>9853</Characters>
  <Application>Microsoft Office Word</Application>
  <DocSecurity>0</DocSecurity>
  <Lines>82</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Yannik Schermer</dc:creator>
  <cp:keywords/>
  <dc:description/>
  <cp:lastModifiedBy>Allyssa Hinkle</cp:lastModifiedBy>
  <cp:revision>3</cp:revision>
  <cp:lastPrinted>2020-04-01T20:32:00Z</cp:lastPrinted>
  <dcterms:created xsi:type="dcterms:W3CDTF">2020-04-02T15:30:00Z</dcterms:created>
  <dcterms:modified xsi:type="dcterms:W3CDTF">2020-04-02T15:32:00Z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http://www.zotero.org/styles/american-chemical-society</vt:lpwstr>
  </property>
  <property fmtid="{D5CDD505-2E9C-101B-9397-08002B2CF9AE}" pid="3" name="Mendeley Recent Style Name 0_1">
    <vt:lpwstr>American Chemical Society</vt:lpwstr>
  </property>
  <property fmtid="{D5CDD505-2E9C-101B-9397-08002B2CF9AE}" pid="4" name="Mendeley Recent Style Id 1_1">
    <vt:lpwstr>http://www.zotero.org/styles/american-medical-association</vt:lpwstr>
  </property>
  <property fmtid="{D5CDD505-2E9C-101B-9397-08002B2CF9AE}" pid="5" name="Mendeley Recent Style Name 1_1">
    <vt:lpwstr>American Medical Association</vt:lpwstr>
  </property>
  <property fmtid="{D5CDD505-2E9C-101B-9397-08002B2CF9AE}" pid="6" name="Mendeley Recent Style Id 2_1">
    <vt:lpwstr>http://www.zotero.org/styles/american-political-science-association</vt:lpwstr>
  </property>
  <property fmtid="{D5CDD505-2E9C-101B-9397-08002B2CF9AE}" pid="7" name="Mendeley Recent Style Name 2_1">
    <vt:lpwstr>American Political Science Association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http://www.zotero.org/styles/american-chemical-society</vt:lpwstr>
  </property>
  <property fmtid="{D5CDD505-2E9C-101B-9397-08002B2CF9AE}" pid="23" name="Mendeley Document_1">
    <vt:lpwstr>True</vt:lpwstr>
  </property>
  <property fmtid="{D5CDD505-2E9C-101B-9397-08002B2CF9AE}" pid="24" name="Mendeley Unique User Id_1">
    <vt:lpwstr>f3e7055b-4e8a-39c8-8ec5-dc73a9fd4ed6</vt:lpwstr>
  </property>
</Properties>
</file>